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Pr="00BF1590" w:rsidRDefault="00412E90" w:rsidP="00BF1590">
      <w:p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 xml:space="preserve"> </w:t>
      </w:r>
    </w:p>
    <w:p w:rsidR="00BF1590" w:rsidRPr="00BF1590" w:rsidRDefault="00BF1590" w:rsidP="00BF1590">
      <w:pPr>
        <w:pStyle w:val="a3"/>
        <w:numPr>
          <w:ilvl w:val="0"/>
          <w:numId w:val="17"/>
        </w:numPr>
        <w:jc w:val="both"/>
        <w:rPr>
          <w:rFonts w:ascii="Arial" w:hAnsi="Arial" w:cs="Arial"/>
          <w:bCs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Установите правильную последовательность этапов статистического исследования:</w:t>
      </w:r>
    </w:p>
    <w:p w:rsidR="00BF1590" w:rsidRPr="00BF1590" w:rsidRDefault="00BF1590" w:rsidP="00BF15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Представление данных.</w:t>
      </w:r>
    </w:p>
    <w:p w:rsidR="00BF1590" w:rsidRPr="00BF1590" w:rsidRDefault="00BF1590" w:rsidP="00BF15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Первичная обработка информации.</w:t>
      </w:r>
    </w:p>
    <w:p w:rsidR="00BF1590" w:rsidRPr="00BF1590" w:rsidRDefault="00BF1590" w:rsidP="00BF15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Анализ и интерпретация данных.</w:t>
      </w:r>
    </w:p>
    <w:p w:rsidR="00BF1590" w:rsidRDefault="00BF1590" w:rsidP="00BF1590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Сбор данных.</w:t>
      </w:r>
    </w:p>
    <w:p w:rsidR="00BF1590" w:rsidRDefault="00BF1590" w:rsidP="00BF1590">
      <w:pPr>
        <w:pStyle w:val="a3"/>
        <w:ind w:left="1500"/>
        <w:jc w:val="both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Преимущества выборочного наблюдения по сравнению со сплошным наблюдением:</w:t>
      </w:r>
    </w:p>
    <w:p w:rsidR="00BF1590" w:rsidRPr="00BF1590" w:rsidRDefault="00BF1590" w:rsidP="00BF15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возможность провести исследования по более широкой программе</w:t>
      </w:r>
    </w:p>
    <w:p w:rsidR="00BF1590" w:rsidRPr="00BF1590" w:rsidRDefault="00BF1590" w:rsidP="00BF15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снижение трудовых затрат за счет уменьшения объема обработки первичной информации</w:t>
      </w:r>
    </w:p>
    <w:p w:rsidR="00BF1590" w:rsidRPr="00BF1590" w:rsidRDefault="00BF1590" w:rsidP="00BF15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возможность периодического проведения обследований</w:t>
      </w:r>
    </w:p>
    <w:p w:rsidR="00BF1590" w:rsidRDefault="00BF1590" w:rsidP="00BF1590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более низкие материальные затраты</w:t>
      </w:r>
    </w:p>
    <w:p w:rsidR="00BF1590" w:rsidRP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Атрибутивные признаки группировок:</w:t>
      </w:r>
    </w:p>
    <w:p w:rsidR="00BF1590" w:rsidRPr="00BF1590" w:rsidRDefault="00BF1590" w:rsidP="00BF15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возраст человека</w:t>
      </w:r>
    </w:p>
    <w:p w:rsidR="00BF1590" w:rsidRPr="00BF1590" w:rsidRDefault="00BF1590" w:rsidP="00BF15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посевная площадь</w:t>
      </w:r>
    </w:p>
    <w:p w:rsidR="00BF1590" w:rsidRPr="00BF1590" w:rsidRDefault="00BF1590" w:rsidP="00BF15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уровень образования (незаконченное среднее, среднее, высшее)</w:t>
      </w:r>
    </w:p>
    <w:p w:rsidR="00BF1590" w:rsidRPr="00BF1590" w:rsidRDefault="00BF1590" w:rsidP="00BF15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пол человека</w:t>
      </w:r>
    </w:p>
    <w:p w:rsidR="00BF1590" w:rsidRPr="00BF1590" w:rsidRDefault="00BF1590" w:rsidP="00BF15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заработная плата</w:t>
      </w:r>
    </w:p>
    <w:p w:rsidR="00BF1590" w:rsidRDefault="00BF1590" w:rsidP="00BF1590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прибыль предприятия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lastRenderedPageBreak/>
        <w:t>Потребление продуктов питания на душу населения – это:</w:t>
      </w:r>
    </w:p>
    <w:p w:rsidR="00BF1590" w:rsidRPr="00BF1590" w:rsidRDefault="00BF1590" w:rsidP="00BF15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относительный показатель сравнения</w:t>
      </w:r>
    </w:p>
    <w:p w:rsidR="00BF1590" w:rsidRPr="00BF1590" w:rsidRDefault="00BF1590" w:rsidP="00BF15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относительный показатель динамики</w:t>
      </w:r>
    </w:p>
    <w:p w:rsidR="00BF1590" w:rsidRPr="00BF1590" w:rsidRDefault="00BF1590" w:rsidP="00BF15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относительный показатель интенсивности</w:t>
      </w:r>
    </w:p>
    <w:p w:rsidR="00BF1590" w:rsidRPr="00BF1590" w:rsidRDefault="00BF1590" w:rsidP="00BF15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относительный показатель экономического развития</w:t>
      </w:r>
    </w:p>
    <w:p w:rsidR="00BF1590" w:rsidRDefault="00BF1590" w:rsidP="00BF1590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относительный показатель структуры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Для значений признака: 3, 5, 6, 9, 11, 12, 13 мода</w:t>
      </w:r>
      <w:r w:rsidRPr="00BF1590">
        <w:rPr>
          <w:rFonts w:ascii="Arial" w:hAnsi="Arial" w:cs="Arial"/>
          <w:sz w:val="24"/>
          <w:szCs w:val="24"/>
        </w:rPr>
        <w:t xml:space="preserve"> </w:t>
      </w:r>
      <w:r w:rsidRPr="00BF1590">
        <w:rPr>
          <w:rFonts w:ascii="Arial" w:hAnsi="Arial" w:cs="Arial"/>
          <w:bCs/>
          <w:sz w:val="24"/>
          <w:szCs w:val="24"/>
        </w:rPr>
        <w:t>равна:</w:t>
      </w:r>
    </w:p>
    <w:p w:rsidR="00BF1590" w:rsidRPr="00BF1590" w:rsidRDefault="00BF1590" w:rsidP="00BF15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3</w:t>
      </w:r>
    </w:p>
    <w:p w:rsidR="00BF1590" w:rsidRPr="00BF1590" w:rsidRDefault="00BF1590" w:rsidP="00BF15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6</w:t>
      </w:r>
    </w:p>
    <w:p w:rsidR="00BF1590" w:rsidRPr="00BF1590" w:rsidRDefault="00BF1590" w:rsidP="00BF15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9</w:t>
      </w:r>
    </w:p>
    <w:p w:rsidR="00BF1590" w:rsidRPr="00BF1590" w:rsidRDefault="00BF1590" w:rsidP="00BF15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13</w:t>
      </w:r>
    </w:p>
    <w:p w:rsidR="00BF1590" w:rsidRDefault="00BF1590" w:rsidP="00BF1590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отсутствует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Абсолютные показатели вариации:</w:t>
      </w:r>
    </w:p>
    <w:p w:rsidR="00BF1590" w:rsidRP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среднее линейное отклонение</w:t>
      </w:r>
    </w:p>
    <w:p w:rsidR="00BF1590" w:rsidRP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коэффициент вариации</w:t>
      </w:r>
    </w:p>
    <w:p w:rsidR="00BF1590" w:rsidRP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коэффициент осцилляции</w:t>
      </w:r>
    </w:p>
    <w:p w:rsidR="00BF1590" w:rsidRP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дисперсия</w:t>
      </w:r>
    </w:p>
    <w:p w:rsidR="00BF1590" w:rsidRP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 xml:space="preserve">среднее </w:t>
      </w:r>
      <w:proofErr w:type="spellStart"/>
      <w:r w:rsidRPr="00BF1590">
        <w:rPr>
          <w:rFonts w:ascii="Arial" w:hAnsi="Arial" w:cs="Arial"/>
          <w:sz w:val="24"/>
          <w:szCs w:val="24"/>
        </w:rPr>
        <w:t>квадратическое</w:t>
      </w:r>
      <w:proofErr w:type="spellEnd"/>
      <w:r w:rsidRPr="00BF1590">
        <w:rPr>
          <w:rFonts w:ascii="Arial" w:hAnsi="Arial" w:cs="Arial"/>
          <w:sz w:val="24"/>
          <w:szCs w:val="24"/>
        </w:rPr>
        <w:t xml:space="preserve"> отклонение</w:t>
      </w:r>
    </w:p>
    <w:p w:rsidR="00BF1590" w:rsidRP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размах вариации</w:t>
      </w:r>
    </w:p>
    <w:p w:rsidR="00BF1590" w:rsidRDefault="00BF1590" w:rsidP="00BF1590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коэффициент корреляции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Если вероятность, гарантирующую результат, увеличить с 0,954 до 0,997, то объем повторной случайной выборки увеличится в … раз.</w:t>
      </w:r>
    </w:p>
    <w:p w:rsidR="00BF1590" w:rsidRPr="00BF1590" w:rsidRDefault="00BF1590" w:rsidP="00BF15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1,5</w:t>
      </w:r>
    </w:p>
    <w:p w:rsidR="00BF1590" w:rsidRPr="00BF1590" w:rsidRDefault="00BF1590" w:rsidP="00BF15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2,25</w:t>
      </w:r>
    </w:p>
    <w:p w:rsidR="00BF1590" w:rsidRDefault="00BF1590" w:rsidP="00BF1590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3,25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Средний уровень моментного ряда динамики с неравными временными промежутками и</w:t>
      </w:r>
      <w:r w:rsidRPr="00BF1590">
        <w:rPr>
          <w:rFonts w:ascii="Arial" w:hAnsi="Arial" w:cs="Arial"/>
          <w:bCs/>
          <w:sz w:val="24"/>
          <w:szCs w:val="24"/>
        </w:rPr>
        <w:t>с</w:t>
      </w:r>
      <w:r w:rsidRPr="00BF1590">
        <w:rPr>
          <w:rFonts w:ascii="Arial" w:hAnsi="Arial" w:cs="Arial"/>
          <w:bCs/>
          <w:sz w:val="24"/>
          <w:szCs w:val="24"/>
        </w:rPr>
        <w:t>числяется по формуле средней …</w:t>
      </w:r>
    </w:p>
    <w:p w:rsidR="00BF1590" w:rsidRPr="00BF1590" w:rsidRDefault="00BF1590" w:rsidP="00BF15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хронологической простой</w:t>
      </w:r>
    </w:p>
    <w:p w:rsidR="00BF1590" w:rsidRPr="00BF1590" w:rsidRDefault="00BF1590" w:rsidP="00BF15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гармонической взвешенной</w:t>
      </w:r>
    </w:p>
    <w:p w:rsidR="00BF1590" w:rsidRPr="00BF1590" w:rsidRDefault="00BF1590" w:rsidP="00BF15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арифметической взвешенной</w:t>
      </w:r>
    </w:p>
    <w:p w:rsidR="00BF1590" w:rsidRPr="00BF1590" w:rsidRDefault="00BF1590" w:rsidP="00BF15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гармонической простой</w:t>
      </w:r>
    </w:p>
    <w:p w:rsidR="00BF1590" w:rsidRPr="00BF1590" w:rsidRDefault="00BF1590" w:rsidP="00BF15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хронологической взвешенной</w:t>
      </w:r>
    </w:p>
    <w:p w:rsidR="00BF1590" w:rsidRDefault="00BF1590" w:rsidP="00BF1590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арифметической простой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Известно, что индекс постоянного состава равен 101,05 %, а индекс переменного состава – 100,58 %. Индекс структурных сдвигов (с точностью до 0,1 %) равен …</w:t>
      </w:r>
    </w:p>
    <w:p w:rsidR="00BF1590" w:rsidRPr="00BF1590" w:rsidRDefault="00BF1590" w:rsidP="00BF15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90,1</w:t>
      </w:r>
    </w:p>
    <w:p w:rsidR="00BF1590" w:rsidRPr="00BF1590" w:rsidRDefault="00BF1590" w:rsidP="00BF15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99,5</w:t>
      </w:r>
    </w:p>
    <w:p w:rsidR="00BF1590" w:rsidRPr="00BF1590" w:rsidRDefault="00BF1590" w:rsidP="00BF15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102,5</w:t>
      </w:r>
    </w:p>
    <w:p w:rsidR="00BF1590" w:rsidRDefault="00BF1590" w:rsidP="00BF1590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lastRenderedPageBreak/>
        <w:t>104,1</w:t>
      </w:r>
    </w:p>
    <w:p w:rsidR="00BF1590" w:rsidRDefault="00BF1590" w:rsidP="00BF15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F1590" w:rsidRPr="00BF1590" w:rsidRDefault="00BF1590" w:rsidP="00BF1590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bCs/>
          <w:sz w:val="24"/>
          <w:szCs w:val="24"/>
        </w:rPr>
        <w:t>Коэффициент детерминации представляет собой долю:</w:t>
      </w:r>
    </w:p>
    <w:p w:rsidR="00BF1590" w:rsidRPr="00BF1590" w:rsidRDefault="00BF1590" w:rsidP="00BF1590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дисперсии теоретических значений в остаточной дисперсии</w:t>
      </w:r>
    </w:p>
    <w:p w:rsidR="00BF1590" w:rsidRPr="00BF1590" w:rsidRDefault="00BF1590" w:rsidP="00BF1590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дисперсии теоретических значений в общей дисперсии</w:t>
      </w:r>
    </w:p>
    <w:p w:rsidR="00BF1590" w:rsidRPr="00BF1590" w:rsidRDefault="00BF1590" w:rsidP="00BF1590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межгрупповой дисперсии в остаточной</w:t>
      </w:r>
    </w:p>
    <w:p w:rsidR="00D96E12" w:rsidRDefault="00BF1590" w:rsidP="00D96E12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F1590">
        <w:rPr>
          <w:rFonts w:ascii="Arial" w:hAnsi="Arial" w:cs="Arial"/>
          <w:sz w:val="24"/>
          <w:szCs w:val="24"/>
        </w:rPr>
        <w:t>межгрупповой дисперсии в общей</w:t>
      </w:r>
    </w:p>
    <w:p w:rsidR="00D96E12" w:rsidRDefault="00D96E12" w:rsidP="00D96E1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E12" w:rsidRPr="00D96E12" w:rsidRDefault="00D96E12" w:rsidP="00D96E1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bCs/>
          <w:sz w:val="24"/>
          <w:szCs w:val="24"/>
        </w:rPr>
        <w:t>В кластерном анализе методы, используемые для образования новых групп, называются:</w:t>
      </w:r>
    </w:p>
    <w:p w:rsidR="00D96E12" w:rsidRPr="00D96E12" w:rsidRDefault="00D96E12" w:rsidP="00D96E12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proofErr w:type="spellStart"/>
      <w:r w:rsidRPr="00D96E12">
        <w:rPr>
          <w:rFonts w:ascii="Arial" w:hAnsi="Arial" w:cs="Arial"/>
          <w:sz w:val="24"/>
          <w:szCs w:val="24"/>
        </w:rPr>
        <w:t>агломеративные</w:t>
      </w:r>
      <w:proofErr w:type="spellEnd"/>
    </w:p>
    <w:p w:rsidR="00D96E12" w:rsidRPr="00D96E12" w:rsidRDefault="00D96E12" w:rsidP="00D96E12">
      <w:pPr>
        <w:pStyle w:val="a3"/>
        <w:numPr>
          <w:ilvl w:val="0"/>
          <w:numId w:val="35"/>
        </w:numPr>
      </w:pPr>
      <w:proofErr w:type="spellStart"/>
      <w:r w:rsidRPr="00D96E12">
        <w:rPr>
          <w:rFonts w:ascii="Arial" w:hAnsi="Arial" w:cs="Arial"/>
          <w:sz w:val="24"/>
          <w:szCs w:val="24"/>
        </w:rPr>
        <w:t>дивизимные</w:t>
      </w:r>
      <w:proofErr w:type="spellEnd"/>
    </w:p>
    <w:p w:rsidR="00D96E12" w:rsidRPr="00D96E12" w:rsidRDefault="00D96E12" w:rsidP="00D96E12">
      <w:pPr>
        <w:pStyle w:val="a3"/>
        <w:ind w:left="1440"/>
      </w:pPr>
    </w:p>
    <w:p w:rsidR="00D96E12" w:rsidRPr="00D96E12" w:rsidRDefault="00D96E12" w:rsidP="00D96E1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96E12">
        <w:rPr>
          <w:b/>
          <w:bCs/>
        </w:rPr>
        <w:t xml:space="preserve"> </w:t>
      </w:r>
      <w:r w:rsidRPr="00D96E12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</w:t>
      </w:r>
      <w:r w:rsidRPr="00D96E12">
        <w:rPr>
          <w:rFonts w:ascii="Arial" w:hAnsi="Arial" w:cs="Arial"/>
          <w:bCs/>
          <w:sz w:val="24"/>
          <w:szCs w:val="24"/>
        </w:rPr>
        <w:t>с</w:t>
      </w:r>
      <w:r w:rsidRPr="00D96E12">
        <w:rPr>
          <w:rFonts w:ascii="Arial" w:hAnsi="Arial" w:cs="Arial"/>
          <w:bCs/>
          <w:sz w:val="24"/>
          <w:szCs w:val="24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 w:rsidRPr="00D96E12">
        <w:rPr>
          <w:rFonts w:ascii="Arial" w:hAnsi="Arial" w:cs="Arial"/>
          <w:bCs/>
          <w:sz w:val="24"/>
          <w:szCs w:val="24"/>
        </w:rPr>
        <w:t>и</w:t>
      </w:r>
      <w:r w:rsidRPr="00D96E12">
        <w:rPr>
          <w:rFonts w:ascii="Arial" w:hAnsi="Arial" w:cs="Arial"/>
          <w:bCs/>
          <w:sz w:val="24"/>
          <w:szCs w:val="24"/>
        </w:rPr>
        <w:t>ент общего прироста численности населения (с точностью до 0,01 промилле) равен:</w:t>
      </w:r>
    </w:p>
    <w:p w:rsidR="00D96E12" w:rsidRPr="00D96E12" w:rsidRDefault="00D96E12" w:rsidP="00D96E12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7,84</w:t>
      </w:r>
    </w:p>
    <w:p w:rsidR="00D96E12" w:rsidRPr="00D96E12" w:rsidRDefault="00D96E12" w:rsidP="00D96E12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12,01</w:t>
      </w:r>
    </w:p>
    <w:p w:rsidR="00D96E12" w:rsidRPr="00D96E12" w:rsidRDefault="00D96E12" w:rsidP="00D96E12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16,00</w:t>
      </w:r>
    </w:p>
    <w:p w:rsidR="00D96E12" w:rsidRDefault="00D96E12" w:rsidP="00D96E12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17,55</w:t>
      </w:r>
    </w:p>
    <w:p w:rsidR="00D96E12" w:rsidRDefault="00D96E12" w:rsidP="00D96E1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E12" w:rsidRPr="00D96E12" w:rsidRDefault="00D96E12" w:rsidP="00D96E1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bCs/>
          <w:sz w:val="24"/>
          <w:szCs w:val="24"/>
        </w:rPr>
        <w:t>В состав показателя «объем производственной продукции промышленного предприятия» входит электроэнергия, выработанная собственной электростанцией:</w:t>
      </w:r>
    </w:p>
    <w:p w:rsidR="00D96E12" w:rsidRPr="00D96E12" w:rsidRDefault="00D96E12" w:rsidP="00D96E12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отпущенная другим непромышленным подразделением предприятия</w:t>
      </w:r>
    </w:p>
    <w:p w:rsidR="00D96E12" w:rsidRPr="00D96E12" w:rsidRDefault="00D96E12" w:rsidP="00D96E12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использованная на обслуживание производственного процесса</w:t>
      </w:r>
    </w:p>
    <w:p w:rsidR="00D96E12" w:rsidRDefault="00D96E12" w:rsidP="00D96E12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отпущенная тепличному хозяйству предприятия</w:t>
      </w:r>
    </w:p>
    <w:p w:rsidR="00D96E12" w:rsidRDefault="00D96E12" w:rsidP="00D96E1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E12" w:rsidRPr="00D96E12" w:rsidRDefault="00D96E12" w:rsidP="00D96E12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bCs/>
          <w:sz w:val="24"/>
          <w:szCs w:val="24"/>
        </w:rPr>
        <w:t>Трудоемкость продукции – это величина, обратная:</w:t>
      </w:r>
    </w:p>
    <w:p w:rsidR="00D96E12" w:rsidRPr="00D96E12" w:rsidRDefault="00D96E12" w:rsidP="00D96E12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proofErr w:type="spellStart"/>
      <w:r w:rsidRPr="00D96E12">
        <w:rPr>
          <w:rFonts w:ascii="Arial" w:hAnsi="Arial" w:cs="Arial"/>
          <w:sz w:val="24"/>
          <w:szCs w:val="24"/>
        </w:rPr>
        <w:t>фондовооруженности</w:t>
      </w:r>
      <w:proofErr w:type="spellEnd"/>
      <w:r w:rsidRPr="00D96E12">
        <w:rPr>
          <w:rFonts w:ascii="Arial" w:hAnsi="Arial" w:cs="Arial"/>
          <w:sz w:val="24"/>
          <w:szCs w:val="24"/>
        </w:rPr>
        <w:t xml:space="preserve"> труда работников</w:t>
      </w:r>
    </w:p>
    <w:p w:rsidR="00D96E12" w:rsidRPr="00D96E12" w:rsidRDefault="00D96E12" w:rsidP="00D96E12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proofErr w:type="spellStart"/>
      <w:r w:rsidRPr="00D96E12">
        <w:rPr>
          <w:rFonts w:ascii="Arial" w:hAnsi="Arial" w:cs="Arial"/>
          <w:sz w:val="24"/>
          <w:szCs w:val="24"/>
        </w:rPr>
        <w:t>фондоемкости</w:t>
      </w:r>
      <w:proofErr w:type="spellEnd"/>
      <w:r w:rsidRPr="00D96E12">
        <w:rPr>
          <w:rFonts w:ascii="Arial" w:hAnsi="Arial" w:cs="Arial"/>
          <w:sz w:val="24"/>
          <w:szCs w:val="24"/>
        </w:rPr>
        <w:t xml:space="preserve"> продукции</w:t>
      </w:r>
    </w:p>
    <w:p w:rsidR="00D96E12" w:rsidRPr="00D96E12" w:rsidRDefault="00D96E12" w:rsidP="00D96E12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выработке продукции работником в единицу времени</w:t>
      </w:r>
    </w:p>
    <w:p w:rsidR="00D96E12" w:rsidRDefault="00D96E12" w:rsidP="00D96E12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фондоотдаче</w:t>
      </w:r>
    </w:p>
    <w:p w:rsidR="00D96E12" w:rsidRDefault="00D96E12" w:rsidP="00D96E12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96E12" w:rsidRPr="00D96E12" w:rsidRDefault="00D96E12" w:rsidP="00D96E12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D96E12">
        <w:rPr>
          <w:rFonts w:ascii="Arial" w:hAnsi="Arial" w:cs="Arial"/>
          <w:bCs/>
          <w:sz w:val="24"/>
          <w:szCs w:val="24"/>
        </w:rPr>
        <w:t>Использование материальных оборотных средств характеризуется показателями:</w:t>
      </w:r>
    </w:p>
    <w:p w:rsidR="00D96E12" w:rsidRPr="00D96E12" w:rsidRDefault="00D96E12" w:rsidP="00D96E12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коэффициентом оборачиваемости оборотных средств</w:t>
      </w:r>
    </w:p>
    <w:p w:rsidR="00D96E12" w:rsidRPr="00D96E12" w:rsidRDefault="00D96E12" w:rsidP="00D96E12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фондоотдачей</w:t>
      </w:r>
    </w:p>
    <w:p w:rsidR="00D96E12" w:rsidRPr="00D96E12" w:rsidRDefault="00D96E12" w:rsidP="00D96E12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коэффициентом закрепления оборотных средств</w:t>
      </w:r>
    </w:p>
    <w:p w:rsidR="00D96E12" w:rsidRPr="00D96E12" w:rsidRDefault="00D96E12" w:rsidP="00D96E12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proofErr w:type="spellStart"/>
      <w:r w:rsidRPr="00D96E12">
        <w:rPr>
          <w:rFonts w:ascii="Arial" w:hAnsi="Arial" w:cs="Arial"/>
          <w:sz w:val="24"/>
          <w:szCs w:val="24"/>
        </w:rPr>
        <w:t>фондоемкостью</w:t>
      </w:r>
      <w:proofErr w:type="spellEnd"/>
    </w:p>
    <w:p w:rsidR="00D96E12" w:rsidRPr="00D96E12" w:rsidRDefault="00D96E12" w:rsidP="00D96E12">
      <w:pPr>
        <w:pStyle w:val="a3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D96E12">
        <w:rPr>
          <w:rFonts w:ascii="Arial" w:hAnsi="Arial" w:cs="Arial"/>
          <w:sz w:val="24"/>
          <w:szCs w:val="24"/>
        </w:rPr>
        <w:t>производительностью труда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C71"/>
    <w:multiLevelType w:val="hybridMultilevel"/>
    <w:tmpl w:val="A5FE7B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4C596B"/>
    <w:multiLevelType w:val="hybridMultilevel"/>
    <w:tmpl w:val="5022A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901BB"/>
    <w:multiLevelType w:val="hybridMultilevel"/>
    <w:tmpl w:val="4C666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65ACE"/>
    <w:multiLevelType w:val="hybridMultilevel"/>
    <w:tmpl w:val="9536C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29C40310"/>
    <w:multiLevelType w:val="hybridMultilevel"/>
    <w:tmpl w:val="CEAA0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A267A"/>
    <w:multiLevelType w:val="hybridMultilevel"/>
    <w:tmpl w:val="834C7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2729F"/>
    <w:multiLevelType w:val="hybridMultilevel"/>
    <w:tmpl w:val="2E46BE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7A7421"/>
    <w:multiLevelType w:val="hybridMultilevel"/>
    <w:tmpl w:val="AD2C2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0344B22"/>
    <w:multiLevelType w:val="hybridMultilevel"/>
    <w:tmpl w:val="B4AEF8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186752B"/>
    <w:multiLevelType w:val="hybridMultilevel"/>
    <w:tmpl w:val="9A2CF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D440B2"/>
    <w:multiLevelType w:val="hybridMultilevel"/>
    <w:tmpl w:val="EA6CAF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334310"/>
    <w:multiLevelType w:val="hybridMultilevel"/>
    <w:tmpl w:val="3E1C09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B2A6161"/>
    <w:multiLevelType w:val="hybridMultilevel"/>
    <w:tmpl w:val="21263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F22E26"/>
    <w:multiLevelType w:val="hybridMultilevel"/>
    <w:tmpl w:val="847C0A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912A88"/>
    <w:multiLevelType w:val="hybridMultilevel"/>
    <w:tmpl w:val="593836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A2454B"/>
    <w:multiLevelType w:val="hybridMultilevel"/>
    <w:tmpl w:val="7566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B3568C"/>
    <w:multiLevelType w:val="hybridMultilevel"/>
    <w:tmpl w:val="D4402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A897DD1"/>
    <w:multiLevelType w:val="hybridMultilevel"/>
    <w:tmpl w:val="12E4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161AB"/>
    <w:multiLevelType w:val="hybridMultilevel"/>
    <w:tmpl w:val="4AF86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3458AE"/>
    <w:multiLevelType w:val="hybridMultilevel"/>
    <w:tmpl w:val="9C4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142F3"/>
    <w:multiLevelType w:val="hybridMultilevel"/>
    <w:tmpl w:val="641626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6D4DC7"/>
    <w:multiLevelType w:val="hybridMultilevel"/>
    <w:tmpl w:val="4D460A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4F943E7"/>
    <w:multiLevelType w:val="hybridMultilevel"/>
    <w:tmpl w:val="156C3D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5B7312F"/>
    <w:multiLevelType w:val="hybridMultilevel"/>
    <w:tmpl w:val="E8521B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03DE9"/>
    <w:multiLevelType w:val="hybridMultilevel"/>
    <w:tmpl w:val="35BCC1C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>
    <w:nsid w:val="795A4595"/>
    <w:multiLevelType w:val="hybridMultilevel"/>
    <w:tmpl w:val="0826FC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CE64E5D"/>
    <w:multiLevelType w:val="hybridMultilevel"/>
    <w:tmpl w:val="1242F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5"/>
  </w:num>
  <w:num w:numId="3">
    <w:abstractNumId w:val="2"/>
  </w:num>
  <w:num w:numId="4">
    <w:abstractNumId w:val="30"/>
  </w:num>
  <w:num w:numId="5">
    <w:abstractNumId w:val="18"/>
  </w:num>
  <w:num w:numId="6">
    <w:abstractNumId w:val="34"/>
  </w:num>
  <w:num w:numId="7">
    <w:abstractNumId w:val="8"/>
  </w:num>
  <w:num w:numId="8">
    <w:abstractNumId w:val="14"/>
  </w:num>
  <w:num w:numId="9">
    <w:abstractNumId w:val="17"/>
  </w:num>
  <w:num w:numId="10">
    <w:abstractNumId w:val="38"/>
  </w:num>
  <w:num w:numId="11">
    <w:abstractNumId w:val="21"/>
  </w:num>
  <w:num w:numId="12">
    <w:abstractNumId w:val="3"/>
  </w:num>
  <w:num w:numId="13">
    <w:abstractNumId w:val="32"/>
  </w:num>
  <w:num w:numId="14">
    <w:abstractNumId w:val="7"/>
  </w:num>
  <w:num w:numId="15">
    <w:abstractNumId w:val="20"/>
  </w:num>
  <w:num w:numId="16">
    <w:abstractNumId w:val="13"/>
  </w:num>
  <w:num w:numId="17">
    <w:abstractNumId w:val="4"/>
  </w:num>
  <w:num w:numId="18">
    <w:abstractNumId w:val="15"/>
  </w:num>
  <w:num w:numId="19">
    <w:abstractNumId w:val="35"/>
  </w:num>
  <w:num w:numId="20">
    <w:abstractNumId w:val="23"/>
  </w:num>
  <w:num w:numId="21">
    <w:abstractNumId w:val="36"/>
  </w:num>
  <w:num w:numId="22">
    <w:abstractNumId w:val="12"/>
  </w:num>
  <w:num w:numId="23">
    <w:abstractNumId w:val="27"/>
  </w:num>
  <w:num w:numId="24">
    <w:abstractNumId w:val="41"/>
  </w:num>
  <w:num w:numId="25">
    <w:abstractNumId w:val="24"/>
  </w:num>
  <w:num w:numId="26">
    <w:abstractNumId w:val="31"/>
  </w:num>
  <w:num w:numId="27">
    <w:abstractNumId w:val="22"/>
  </w:num>
  <w:num w:numId="28">
    <w:abstractNumId w:val="29"/>
  </w:num>
  <w:num w:numId="29">
    <w:abstractNumId w:val="33"/>
  </w:num>
  <w:num w:numId="30">
    <w:abstractNumId w:val="6"/>
  </w:num>
  <w:num w:numId="31">
    <w:abstractNumId w:val="9"/>
  </w:num>
  <w:num w:numId="32">
    <w:abstractNumId w:val="26"/>
  </w:num>
  <w:num w:numId="33">
    <w:abstractNumId w:val="19"/>
  </w:num>
  <w:num w:numId="34">
    <w:abstractNumId w:val="16"/>
  </w:num>
  <w:num w:numId="35">
    <w:abstractNumId w:val="11"/>
  </w:num>
  <w:num w:numId="36">
    <w:abstractNumId w:val="1"/>
  </w:num>
  <w:num w:numId="37">
    <w:abstractNumId w:val="40"/>
  </w:num>
  <w:num w:numId="38">
    <w:abstractNumId w:val="10"/>
  </w:num>
  <w:num w:numId="39">
    <w:abstractNumId w:val="25"/>
  </w:num>
  <w:num w:numId="40">
    <w:abstractNumId w:val="28"/>
  </w:num>
  <w:num w:numId="41">
    <w:abstractNumId w:val="37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62554A"/>
    <w:rsid w:val="00BD2D22"/>
    <w:rsid w:val="00BF1590"/>
    <w:rsid w:val="00D96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D96E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96E12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2012-04-22T10:30:00Z</dcterms:modified>
</cp:coreProperties>
</file>